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59.9999999999998" w:firstLine="0"/>
        <w:jc w:val="center"/>
        <w:rPr>
          <w:rFonts w:ascii="Bilbo Swash Caps" w:cs="Bilbo Swash Caps" w:eastAsia="Bilbo Swash Caps" w:hAnsi="Bilbo Swash Caps"/>
          <w:sz w:val="60"/>
          <w:szCs w:val="60"/>
        </w:rPr>
      </w:pPr>
      <w:r w:rsidDel="00000000" w:rsidR="00000000" w:rsidRPr="00000000">
        <w:rPr>
          <w:rFonts w:ascii="Bilbo Swash Caps" w:cs="Bilbo Swash Caps" w:eastAsia="Bilbo Swash Caps" w:hAnsi="Bilbo Swash Caps"/>
          <w:sz w:val="60"/>
          <w:szCs w:val="60"/>
        </w:rPr>
        <w:drawing>
          <wp:inline distB="114300" distT="114300" distL="114300" distR="114300">
            <wp:extent cx="3234011" cy="1252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4011" cy="1252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59.9999999999998" w:firstLine="0"/>
        <w:jc w:val="center"/>
        <w:rPr>
          <w:rFonts w:ascii="Bilbo Swash Caps" w:cs="Bilbo Swash Caps" w:eastAsia="Bilbo Swash Caps" w:hAnsi="Bilbo Swash Caps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PILSETASMODE.LV ATGRIEŠANAS 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Datums___________________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Pircēja vārds un uzvārds:</w:t>
      </w:r>
      <w:r w:rsidDel="00000000" w:rsidR="00000000" w:rsidRPr="00000000">
        <w:rPr>
          <w:b w:val="1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Bankas konta numurs:</w:t>
      </w:r>
      <w:r w:rsidDel="00000000" w:rsidR="00000000" w:rsidRPr="00000000">
        <w:rPr>
          <w:b w:val="1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Atgriešanas iemesls:</w:t>
      </w:r>
      <w:r w:rsidDel="00000000" w:rsidR="00000000" w:rsidRPr="00000000">
        <w:rPr>
          <w:b w:val="1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 neder preces izmērs vai modelis, to varat atgriezt 14 dienu laikā no piegādes brīža</w:t>
      </w:r>
      <w:r w:rsidDel="00000000" w:rsidR="00000000" w:rsidRPr="00000000">
        <w:rPr>
          <w:sz w:val="20"/>
          <w:szCs w:val="20"/>
          <w:rtl w:val="0"/>
        </w:rPr>
        <w:t xml:space="preserve">. Lūdzu, ņemiet vērā, ka apakšveļu, naktsveļu un līdzīgas preces nevar atgriezt vai aizstāt veselības un higiēnas apsvērumu dēļ.</w:t>
      </w:r>
    </w:p>
    <w:p w:rsidR="00000000" w:rsidDel="00000000" w:rsidP="00000000" w:rsidRDefault="00000000" w:rsidRPr="00000000" w14:paraId="0000000E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Atgriešanu var veikt izmantojot tikai OMNIVA pakomātu.</w:t>
      </w:r>
    </w:p>
    <w:p w:rsidR="00000000" w:rsidDel="00000000" w:rsidP="00000000" w:rsidRDefault="00000000" w:rsidRPr="00000000" w14:paraId="00000010">
      <w:pPr>
        <w:ind w:firstLine="72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KĀ ATGRIEZT PRECES IZMANTOJOT OMNIVA PAKOMĀTU?</w:t>
      </w:r>
    </w:p>
    <w:p w:rsidR="00000000" w:rsidDel="00000000" w:rsidP="00000000" w:rsidRDefault="00000000" w:rsidRPr="00000000" w14:paraId="00000012">
      <w:pP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Nogādājiet sūtījumu, kuru vēlaties atgriezt, uz tuvāko pakomātu.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Izvēlieties valodu pieskaroties ekrānam, pēc tam izvēlnē atlasiet funkciju “Atgriezt sūtījumu”.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Ekrānā ievadiet īsziņā vai e-pastā saņemto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atgriešanas kodu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Pievienojiet sūtījuma uzlīmi iepakojumam. Sūtījuma uzlīmi atradīsit zem maksājuma termināla.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Ievietojiet sūtījumu atvērtajā nodalījumā, aizveriet durvis un apstipriniet nosūtīšanu, noklikšķinot uz ekrānā norādītās pogas “Apstiprināt”.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Ja vēlaties, izdrukājiet kvīti.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ilbo Swash Cap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SwashCap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